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D1D2" w14:textId="77777777" w:rsidR="00CD1F61" w:rsidRPr="002E7FAF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  <w:commentRangeStart w:id="0"/>
      <w:r w:rsidRPr="002E7FAF">
        <w:rPr>
          <w:rFonts w:ascii="Times New Roman" w:eastAsia="함초롬바탕" w:hAnsi="Times New Roman" w:cs="Times New Roman"/>
          <w:color w:val="000000" w:themeColor="text1"/>
          <w:sz w:val="24"/>
        </w:rPr>
        <w:t>[Your Title]</w:t>
      </w:r>
      <w:commentRangeEnd w:id="0"/>
      <w:r w:rsidR="00D05213">
        <w:rPr>
          <w:rStyle w:val="af0"/>
        </w:rPr>
        <w:commentReference w:id="0"/>
      </w:r>
      <w:r w:rsidRPr="002E7FAF">
        <w:rPr>
          <w:rFonts w:ascii="Times New Roman" w:eastAsia="함초롬바탕" w:hAnsi="Times New Roman" w:cs="Times New Roman"/>
          <w:color w:val="000000" w:themeColor="text1"/>
          <w:sz w:val="24"/>
        </w:rPr>
        <w:t xml:space="preserve"> </w:t>
      </w:r>
      <w:r w:rsidRPr="002E7FAF">
        <w:rPr>
          <w:rFonts w:ascii="Times New Roman" w:eastAsia="함초롬바탕" w:hAnsi="Times New Roman" w:cs="Times New Roman"/>
          <w:color w:val="156082" w:themeColor="accent1"/>
          <w:sz w:val="24"/>
        </w:rPr>
        <w:t>Mission and Ecumenism from the Margins: Vestiges of Transformative Spirituality in the Korean Ecumenical Movement</w:t>
      </w:r>
    </w:p>
    <w:p w14:paraId="3F115109" w14:textId="77777777" w:rsidR="00CD1F61" w:rsidRPr="002E7FAF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</w:p>
    <w:p w14:paraId="165EA7C1" w14:textId="77777777" w:rsidR="00CD1F61" w:rsidRPr="002E7FAF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  <w:commentRangeStart w:id="1"/>
      <w:r w:rsidRPr="002E7FAF">
        <w:rPr>
          <w:rFonts w:ascii="Times New Roman" w:eastAsia="함초롬바탕" w:hAnsi="Times New Roman" w:cs="Times New Roman"/>
          <w:sz w:val="24"/>
        </w:rPr>
        <w:t>[Your Name]</w:t>
      </w:r>
      <w:commentRangeEnd w:id="1"/>
      <w:r w:rsidR="00D05213">
        <w:rPr>
          <w:rStyle w:val="af0"/>
        </w:rPr>
        <w:commentReference w:id="1"/>
      </w:r>
      <w:r w:rsidRPr="002E7FAF">
        <w:rPr>
          <w:rFonts w:ascii="Times New Roman" w:eastAsia="함초롬바탕" w:hAnsi="Times New Roman" w:cs="Times New Roman"/>
          <w:sz w:val="24"/>
        </w:rPr>
        <w:t xml:space="preserve"> </w:t>
      </w:r>
      <w:proofErr w:type="spellStart"/>
      <w:r w:rsidRPr="002E7FAF">
        <w:rPr>
          <w:rFonts w:ascii="Times New Roman" w:eastAsia="함초롬바탕" w:hAnsi="Times New Roman" w:cs="Times New Roman"/>
          <w:sz w:val="24"/>
        </w:rPr>
        <w:t>Hiheon</w:t>
      </w:r>
      <w:proofErr w:type="spellEnd"/>
      <w:r w:rsidRPr="002E7FAF">
        <w:rPr>
          <w:rFonts w:ascii="Times New Roman" w:eastAsia="함초롬바탕" w:hAnsi="Times New Roman" w:cs="Times New Roman"/>
          <w:sz w:val="24"/>
        </w:rPr>
        <w:t xml:space="preserve"> Kim</w:t>
      </w:r>
    </w:p>
    <w:p w14:paraId="485656A7" w14:textId="1C2AB7C1" w:rsidR="00CD1F61" w:rsidRPr="002E7FAF" w:rsidRDefault="0077614D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  <w:commentRangeStart w:id="2"/>
      <w:r w:rsidRPr="002E7FAF">
        <w:rPr>
          <w:rFonts w:ascii="Times New Roman" w:eastAsia="함초롬바탕" w:hAnsi="Times New Roman" w:cs="Times New Roman"/>
          <w:sz w:val="24"/>
        </w:rPr>
        <w:t xml:space="preserve">[Your </w:t>
      </w:r>
      <w:r>
        <w:rPr>
          <w:rFonts w:ascii="Times New Roman" w:eastAsia="함초롬바탕" w:hAnsi="Times New Roman" w:cs="Times New Roman" w:hint="eastAsia"/>
          <w:sz w:val="24"/>
        </w:rPr>
        <w:t>Affiliation</w:t>
      </w:r>
      <w:r w:rsidRPr="002E7FAF">
        <w:rPr>
          <w:rFonts w:ascii="Times New Roman" w:eastAsia="함초롬바탕" w:hAnsi="Times New Roman" w:cs="Times New Roman"/>
          <w:sz w:val="24"/>
        </w:rPr>
        <w:t>]</w:t>
      </w:r>
      <w:commentRangeEnd w:id="2"/>
      <w:r w:rsidR="00D05213">
        <w:rPr>
          <w:rStyle w:val="af0"/>
        </w:rPr>
        <w:commentReference w:id="2"/>
      </w:r>
      <w:r>
        <w:rPr>
          <w:rFonts w:ascii="Times New Roman" w:eastAsia="함초롬바탕" w:hAnsi="Times New Roman" w:cs="Times New Roman" w:hint="eastAsia"/>
          <w:sz w:val="24"/>
        </w:rPr>
        <w:t xml:space="preserve"> </w:t>
      </w:r>
      <w:r w:rsidR="00CD1F61" w:rsidRPr="002E7FAF">
        <w:rPr>
          <w:rFonts w:ascii="Times New Roman" w:eastAsia="함초롬바탕" w:hAnsi="Times New Roman" w:cs="Times New Roman"/>
          <w:color w:val="156082" w:themeColor="accent1"/>
          <w:sz w:val="24"/>
        </w:rPr>
        <w:t>Chair Professor, Graduate School of Theology of Hanshin University, Seoul, Korea. Ph.D.</w:t>
      </w:r>
    </w:p>
    <w:p w14:paraId="33471FB5" w14:textId="77777777" w:rsidR="00CD1F61" w:rsidRPr="0077614D" w:rsidRDefault="00CD1F61" w:rsidP="00CD1F61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commentRangeStart w:id="3"/>
      <w:r w:rsidRPr="0077614D">
        <w:rPr>
          <w:rFonts w:ascii="Times New Roman" w:hAnsi="Times New Roman" w:cs="Times New Roman"/>
          <w:sz w:val="24"/>
          <w:szCs w:val="24"/>
        </w:rPr>
        <w:t>[Email Address]</w:t>
      </w:r>
      <w:commentRangeEnd w:id="3"/>
      <w:r w:rsidR="00D05213">
        <w:rPr>
          <w:rStyle w:val="af0"/>
        </w:rPr>
        <w:commentReference w:id="3"/>
      </w:r>
      <w:r w:rsidRPr="0077614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7614D">
          <w:rPr>
            <w:rStyle w:val="aa"/>
            <w:rFonts w:ascii="Times New Roman" w:eastAsia="함초롬바탕" w:hAnsi="Times New Roman" w:cs="Times New Roman"/>
            <w:sz w:val="24"/>
            <w:szCs w:val="24"/>
          </w:rPr>
          <w:t>kimhiheon@empal.com</w:t>
        </w:r>
      </w:hyperlink>
    </w:p>
    <w:p w14:paraId="4A9830D4" w14:textId="20EA347C" w:rsidR="00CD1F61" w:rsidRPr="0077614D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color w:val="156082" w:themeColor="accent1"/>
          <w:sz w:val="24"/>
        </w:rPr>
      </w:pPr>
      <w:commentRangeStart w:id="4"/>
      <w:r w:rsidRPr="002E7FAF">
        <w:rPr>
          <w:rFonts w:ascii="Times New Roman" w:eastAsia="함초롬바탕" w:hAnsi="Times New Roman" w:cs="Times New Roman"/>
          <w:sz w:val="24"/>
        </w:rPr>
        <w:t>[Your ORCID]</w:t>
      </w:r>
      <w:commentRangeEnd w:id="4"/>
      <w:r w:rsidR="00D05213">
        <w:rPr>
          <w:rStyle w:val="af0"/>
        </w:rPr>
        <w:commentReference w:id="4"/>
      </w:r>
      <w:r w:rsidRPr="002E7FAF">
        <w:rPr>
          <w:rFonts w:ascii="Times New Roman" w:eastAsia="함초롬바탕" w:hAnsi="Times New Roman" w:cs="Times New Roman"/>
          <w:sz w:val="24"/>
        </w:rPr>
        <w:t xml:space="preserve"> </w:t>
      </w:r>
      <w:r w:rsidR="0077614D" w:rsidRPr="0077614D">
        <w:rPr>
          <w:rFonts w:ascii="Times New Roman" w:eastAsia="함초롬바탕" w:hAnsi="Times New Roman" w:cs="Times New Roman" w:hint="eastAsia"/>
          <w:color w:val="156082" w:themeColor="accent1"/>
          <w:sz w:val="24"/>
        </w:rPr>
        <w:t>https://orcid.org/</w:t>
      </w:r>
      <w:r w:rsidRPr="0077614D">
        <w:rPr>
          <w:rFonts w:ascii="Times New Roman" w:eastAsia="함초롬바탕" w:hAnsi="Times New Roman" w:cs="Times New Roman"/>
          <w:color w:val="156082" w:themeColor="accent1"/>
          <w:sz w:val="24"/>
        </w:rPr>
        <w:t>0009-0003-3926-9373</w:t>
      </w:r>
    </w:p>
    <w:p w14:paraId="4B961932" w14:textId="77777777" w:rsidR="00CD1F61" w:rsidRPr="002E7FAF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</w:p>
    <w:p w14:paraId="58516762" w14:textId="77777777" w:rsidR="00CD1F61" w:rsidRPr="002E7FAF" w:rsidRDefault="00CD1F61" w:rsidP="00CD1F61">
      <w:pPr>
        <w:wordWrap/>
        <w:spacing w:after="0" w:line="480" w:lineRule="auto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eastAsia="함초롬바탕" w:hAnsi="Times New Roman" w:cs="Times New Roman"/>
          <w:sz w:val="24"/>
        </w:rPr>
        <w:t>Abstract</w:t>
      </w:r>
    </w:p>
    <w:p w14:paraId="45F7FABC" w14:textId="16309E93" w:rsidR="00CD1F61" w:rsidRPr="002E7FAF" w:rsidRDefault="00CD1F61" w:rsidP="00CD1F61">
      <w:pPr>
        <w:wordWrap/>
        <w:spacing w:after="120" w:line="480" w:lineRule="auto"/>
        <w:ind w:left="5"/>
        <w:rPr>
          <w:rFonts w:ascii="Times New Roman" w:hAnsi="Times New Roman" w:cs="Times New Roman"/>
          <w:sz w:val="24"/>
        </w:rPr>
      </w:pPr>
      <w:commentRangeStart w:id="5"/>
      <w:r w:rsidRPr="002E7FAF">
        <w:rPr>
          <w:rFonts w:ascii="Times New Roman" w:hAnsi="Times New Roman" w:cs="Times New Roman"/>
          <w:sz w:val="24"/>
        </w:rPr>
        <w:t xml:space="preserve">[Your text less </w:t>
      </w:r>
      <w:r w:rsidR="0077614D">
        <w:rPr>
          <w:rFonts w:ascii="Times New Roman" w:hAnsi="Times New Roman" w:cs="Times New Roman" w:hint="eastAsia"/>
          <w:sz w:val="24"/>
        </w:rPr>
        <w:t xml:space="preserve">than </w:t>
      </w:r>
      <w:r w:rsidRPr="002E7FAF">
        <w:rPr>
          <w:rFonts w:ascii="Times New Roman" w:hAnsi="Times New Roman" w:cs="Times New Roman"/>
          <w:sz w:val="24"/>
        </w:rPr>
        <w:t>200 words]</w:t>
      </w:r>
      <w:commentRangeEnd w:id="5"/>
      <w:r w:rsidR="00D05213">
        <w:rPr>
          <w:rStyle w:val="af0"/>
        </w:rPr>
        <w:commentReference w:id="5"/>
      </w:r>
    </w:p>
    <w:p w14:paraId="555AD9DC" w14:textId="77777777" w:rsidR="00CD1F61" w:rsidRPr="002E7FAF" w:rsidRDefault="00CD1F61" w:rsidP="00CD1F61">
      <w:pPr>
        <w:wordWrap/>
        <w:spacing w:after="120" w:line="480" w:lineRule="auto"/>
        <w:ind w:left="5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hAnsi="Times New Roman" w:cs="Times New Roman"/>
          <w:sz w:val="24"/>
        </w:rPr>
        <w:t xml:space="preserve"> </w:t>
      </w:r>
    </w:p>
    <w:p w14:paraId="1964A56A" w14:textId="77777777" w:rsidR="00CD1F61" w:rsidRPr="002E7FAF" w:rsidRDefault="00CD1F61" w:rsidP="00CD1F61">
      <w:pPr>
        <w:wordWrap/>
        <w:spacing w:after="0" w:line="480" w:lineRule="auto"/>
        <w:ind w:left="1379" w:hanging="1379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eastAsia="함초롬바탕" w:hAnsi="Times New Roman" w:cs="Times New Roman"/>
          <w:sz w:val="24"/>
        </w:rPr>
        <w:t xml:space="preserve">Keywords </w:t>
      </w:r>
    </w:p>
    <w:p w14:paraId="452A9AD7" w14:textId="77777777" w:rsidR="00CD1F61" w:rsidRPr="002E7FAF" w:rsidRDefault="00CD1F61" w:rsidP="00CD1F61">
      <w:pPr>
        <w:wordWrap/>
        <w:spacing w:after="0" w:line="480" w:lineRule="auto"/>
        <w:ind w:left="1379" w:hanging="1379"/>
        <w:jc w:val="left"/>
        <w:rPr>
          <w:rFonts w:ascii="Times New Roman" w:eastAsia="함초롬바탕" w:hAnsi="Times New Roman" w:cs="Times New Roman"/>
          <w:color w:val="156082" w:themeColor="accent1"/>
          <w:sz w:val="24"/>
        </w:rPr>
      </w:pPr>
      <w:r w:rsidRPr="002E7FAF">
        <w:rPr>
          <w:rFonts w:ascii="Times New Roman" w:eastAsia="함초롬바탕" w:hAnsi="Times New Roman" w:cs="Times New Roman"/>
          <w:color w:val="156082" w:themeColor="accent1"/>
          <w:sz w:val="24"/>
        </w:rPr>
        <w:t>Keyword 1, Keyword 2, Keyword 3, Keyword 4, Keyword 5</w:t>
      </w:r>
    </w:p>
    <w:p w14:paraId="0E8300F3" w14:textId="77777777" w:rsidR="00CD1F61" w:rsidRPr="002E7FAF" w:rsidRDefault="00CD1F61" w:rsidP="00CD1F61">
      <w:pPr>
        <w:wordWrap/>
        <w:spacing w:after="0" w:line="480" w:lineRule="auto"/>
        <w:ind w:left="1" w:hanging="1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eastAsia="함초롬바탕" w:hAnsi="Times New Roman" w:cs="Times New Roman"/>
          <w:b/>
          <w:sz w:val="24"/>
        </w:rPr>
        <w:br w:type="page"/>
      </w:r>
    </w:p>
    <w:p w14:paraId="52C831C2" w14:textId="77777777" w:rsidR="00CD1F61" w:rsidRPr="002E7FAF" w:rsidRDefault="00CD1F61" w:rsidP="00CD1F61">
      <w:pPr>
        <w:wordWrap/>
        <w:spacing w:after="120" w:line="480" w:lineRule="auto"/>
        <w:ind w:left="240" w:hangingChars="100" w:hanging="240"/>
        <w:rPr>
          <w:rFonts w:ascii="Times New Roman" w:eastAsia="함초롬바탕" w:hAnsi="Times New Roman" w:cs="Times New Roman"/>
          <w:b/>
          <w:sz w:val="24"/>
        </w:rPr>
      </w:pPr>
      <w:r w:rsidRPr="002E7FAF">
        <w:rPr>
          <w:rFonts w:ascii="Times New Roman" w:eastAsia="함초롬바탕" w:hAnsi="Times New Roman" w:cs="Times New Roman"/>
          <w:b/>
          <w:sz w:val="24"/>
        </w:rPr>
        <w:lastRenderedPageBreak/>
        <w:t xml:space="preserve">1. Heading </w:t>
      </w:r>
    </w:p>
    <w:p w14:paraId="6529C441" w14:textId="77777777" w:rsidR="00CD1F61" w:rsidRPr="002E7FAF" w:rsidRDefault="00CD1F61" w:rsidP="00CD1F61">
      <w:pPr>
        <w:wordWrap/>
        <w:spacing w:after="120" w:line="480" w:lineRule="auto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hAnsi="Times New Roman" w:cs="Times New Roman"/>
          <w:sz w:val="24"/>
        </w:rPr>
        <w:t>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1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2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eastAsia="함초롬바탕" w:hAnsi="Times New Roman" w:cs="Times New Roman"/>
          <w:sz w:val="24"/>
        </w:rPr>
        <w:footnoteReference w:id="3"/>
      </w:r>
      <w:r w:rsidRPr="002E7FAF">
        <w:rPr>
          <w:rFonts w:ascii="Times New Roman" w:eastAsia="함초롬바탕" w:hAnsi="Times New Roman" w:cs="Times New Roman"/>
          <w:sz w:val="24"/>
        </w:rPr>
        <w:t xml:space="preserve"> </w:t>
      </w:r>
      <w:r w:rsidRPr="002E7FAF">
        <w:rPr>
          <w:rFonts w:ascii="Times New Roman" w:hAnsi="Times New Roman" w:cs="Times New Roman"/>
          <w:sz w:val="24"/>
        </w:rPr>
        <w:t>Text.</w:t>
      </w:r>
      <w:r w:rsidRPr="002E7FAF">
        <w:rPr>
          <w:rStyle w:val="ab"/>
          <w:rFonts w:ascii="Times New Roman" w:eastAsia="함초롬바탕" w:hAnsi="Times New Roman" w:cs="Times New Roman"/>
          <w:sz w:val="24"/>
        </w:rPr>
        <w:footnoteReference w:id="4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eastAsia="함초롬바탕" w:hAnsi="Times New Roman" w:cs="Times New Roman"/>
          <w:sz w:val="24"/>
        </w:rPr>
        <w:footnoteReference w:id="5"/>
      </w:r>
    </w:p>
    <w:p w14:paraId="0E5AD738" w14:textId="77777777" w:rsidR="00CD1F61" w:rsidRPr="002E7FAF" w:rsidRDefault="00CD1F61" w:rsidP="00CD1F61">
      <w:pPr>
        <w:pStyle w:val="a6"/>
        <w:numPr>
          <w:ilvl w:val="1"/>
          <w:numId w:val="1"/>
        </w:numPr>
        <w:wordWrap/>
        <w:spacing w:after="120" w:line="480" w:lineRule="auto"/>
        <w:contextualSpacing w:val="0"/>
        <w:rPr>
          <w:rFonts w:ascii="Times New Roman" w:hAnsi="Times New Roman" w:cs="Times New Roman"/>
          <w:b/>
          <w:bCs/>
          <w:sz w:val="24"/>
        </w:rPr>
      </w:pPr>
      <w:r w:rsidRPr="002E7FAF">
        <w:rPr>
          <w:rFonts w:ascii="Times New Roman" w:hAnsi="Times New Roman" w:cs="Times New Roman"/>
          <w:b/>
          <w:bCs/>
          <w:sz w:val="24"/>
        </w:rPr>
        <w:t xml:space="preserve"> Subheading</w:t>
      </w:r>
    </w:p>
    <w:p w14:paraId="18C3E031" w14:textId="77777777" w:rsidR="00CD1F61" w:rsidRDefault="00CD1F61" w:rsidP="00CD1F61">
      <w:pPr>
        <w:wordWrap/>
        <w:spacing w:after="120" w:line="480" w:lineRule="auto"/>
        <w:rPr>
          <w:rFonts w:ascii="Times New Roman" w:hAnsi="Times New Roman" w:cs="Times New Roman"/>
          <w:sz w:val="24"/>
        </w:rPr>
      </w:pPr>
      <w:r w:rsidRPr="002E7FAF">
        <w:rPr>
          <w:rFonts w:ascii="Times New Roman" w:hAnsi="Times New Roman" w:cs="Times New Roman"/>
          <w:sz w:val="24"/>
        </w:rPr>
        <w:t>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6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7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8"/>
      </w:r>
    </w:p>
    <w:p w14:paraId="540DDFC9" w14:textId="77777777" w:rsidR="00CD1F61" w:rsidRPr="002E7FAF" w:rsidRDefault="00CD1F61" w:rsidP="00CD1F61">
      <w:pPr>
        <w:wordWrap/>
        <w:spacing w:after="120" w:line="480" w:lineRule="auto"/>
        <w:rPr>
          <w:rFonts w:ascii="Times New Roman" w:hAnsi="Times New Roman" w:cs="Times New Roman"/>
          <w:b/>
          <w:bCs/>
          <w:sz w:val="24"/>
        </w:rPr>
      </w:pPr>
      <w:r w:rsidRPr="002E7FAF">
        <w:rPr>
          <w:rFonts w:ascii="Times New Roman" w:hAnsi="Times New Roman" w:cs="Times New Roman"/>
          <w:b/>
          <w:bCs/>
          <w:sz w:val="24"/>
        </w:rPr>
        <w:t>1.1.1. Subheading</w:t>
      </w:r>
    </w:p>
    <w:p w14:paraId="0D3840D4" w14:textId="77777777" w:rsidR="00CD1F61" w:rsidRDefault="00CD1F61" w:rsidP="00CD1F61">
      <w:pPr>
        <w:wordWrap/>
        <w:spacing w:after="120" w:line="480" w:lineRule="auto"/>
        <w:rPr>
          <w:rFonts w:ascii="Times New Roman" w:hAnsi="Times New Roman" w:cs="Times New Roman"/>
          <w:sz w:val="24"/>
        </w:rPr>
      </w:pPr>
      <w:r w:rsidRPr="002E7FAF">
        <w:rPr>
          <w:rFonts w:ascii="Times New Roman" w:hAnsi="Times New Roman" w:cs="Times New Roman"/>
          <w:sz w:val="24"/>
        </w:rPr>
        <w:t>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9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10"/>
      </w:r>
      <w:r w:rsidRPr="002E7FAF">
        <w:rPr>
          <w:rFonts w:ascii="Times New Roman" w:hAnsi="Times New Roman" w:cs="Times New Roman"/>
          <w:sz w:val="24"/>
        </w:rPr>
        <w:t xml:space="preserve"> Text.</w:t>
      </w:r>
      <w:r w:rsidRPr="002E7FAF">
        <w:rPr>
          <w:rStyle w:val="ab"/>
          <w:rFonts w:ascii="Times New Roman" w:hAnsi="Times New Roman" w:cs="Times New Roman"/>
          <w:sz w:val="24"/>
        </w:rPr>
        <w:footnoteReference w:id="11"/>
      </w:r>
    </w:p>
    <w:p w14:paraId="1E9FC0F1" w14:textId="2993A334" w:rsidR="00CD1F61" w:rsidRPr="00CD1F61" w:rsidRDefault="00CD1F61" w:rsidP="00CD1F61">
      <w:pPr>
        <w:pStyle w:val="a6"/>
        <w:numPr>
          <w:ilvl w:val="1"/>
          <w:numId w:val="1"/>
        </w:numPr>
        <w:wordWrap/>
        <w:spacing w:after="120" w:line="480" w:lineRule="auto"/>
        <w:rPr>
          <w:rFonts w:ascii="Times New Roman" w:hAnsi="Times New Roman" w:cs="Times New Roman"/>
          <w:b/>
          <w:bCs/>
          <w:sz w:val="24"/>
        </w:rPr>
      </w:pPr>
      <w:r w:rsidRPr="00CD1F61">
        <w:rPr>
          <w:rFonts w:ascii="Times New Roman" w:hAnsi="Times New Roman" w:cs="Times New Roman" w:hint="eastAsia"/>
          <w:b/>
          <w:bCs/>
          <w:sz w:val="24"/>
        </w:rPr>
        <w:t>Subheading</w:t>
      </w:r>
      <w:r w:rsidRPr="00CD1F6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F066A0D" w14:textId="22EAFC24" w:rsidR="00CD1F61" w:rsidRPr="00CD1F61" w:rsidRDefault="00CD1F61" w:rsidP="00CD1F61">
      <w:pPr>
        <w:pStyle w:val="a6"/>
        <w:numPr>
          <w:ilvl w:val="0"/>
          <w:numId w:val="1"/>
        </w:numPr>
        <w:wordWrap/>
        <w:spacing w:after="120" w:line="480" w:lineRule="auto"/>
        <w:rPr>
          <w:rFonts w:ascii="Times New Roman" w:hAnsi="Times New Roman" w:cs="Times New Roman"/>
          <w:b/>
          <w:bCs/>
          <w:sz w:val="24"/>
        </w:rPr>
      </w:pPr>
      <w:r w:rsidRPr="00CD1F61">
        <w:rPr>
          <w:rFonts w:ascii="Times New Roman" w:hAnsi="Times New Roman" w:cs="Times New Roman" w:hint="eastAsia"/>
          <w:b/>
          <w:bCs/>
          <w:sz w:val="24"/>
        </w:rPr>
        <w:t>Heading</w:t>
      </w:r>
    </w:p>
    <w:p w14:paraId="21BB20EE" w14:textId="6621ADC5" w:rsidR="00CD1F61" w:rsidRPr="00CD1F61" w:rsidRDefault="00CD1F61" w:rsidP="00CD1F61">
      <w:pPr>
        <w:pStyle w:val="a6"/>
        <w:numPr>
          <w:ilvl w:val="1"/>
          <w:numId w:val="1"/>
        </w:numPr>
        <w:wordWrap/>
        <w:spacing w:after="120" w:line="480" w:lineRule="auto"/>
        <w:rPr>
          <w:rFonts w:ascii="Times New Roman" w:hAnsi="Times New Roman" w:cs="Times New Roman"/>
          <w:b/>
          <w:bCs/>
          <w:sz w:val="24"/>
        </w:rPr>
      </w:pPr>
      <w:r w:rsidRPr="00CD1F61">
        <w:rPr>
          <w:rFonts w:ascii="Times New Roman" w:hAnsi="Times New Roman" w:cs="Times New Roman" w:hint="eastAsia"/>
          <w:b/>
          <w:bCs/>
          <w:sz w:val="24"/>
        </w:rPr>
        <w:t>Subheading</w:t>
      </w:r>
    </w:p>
    <w:p w14:paraId="6C6126FD" w14:textId="77777777" w:rsidR="00CD1F61" w:rsidRPr="00CD1F61" w:rsidRDefault="00CD1F61" w:rsidP="00CD1F61">
      <w:pPr>
        <w:pStyle w:val="a6"/>
        <w:numPr>
          <w:ilvl w:val="1"/>
          <w:numId w:val="1"/>
        </w:numPr>
        <w:wordWrap/>
        <w:spacing w:after="120" w:line="480" w:lineRule="auto"/>
        <w:rPr>
          <w:rFonts w:ascii="Times New Roman" w:hAnsi="Times New Roman" w:cs="Times New Roman"/>
          <w:b/>
          <w:bCs/>
          <w:sz w:val="24"/>
        </w:rPr>
      </w:pPr>
    </w:p>
    <w:p w14:paraId="79742955" w14:textId="77777777" w:rsidR="00CD1F61" w:rsidRPr="002E7FAF" w:rsidRDefault="00CD1F61" w:rsidP="00CD1F6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함초롬바탕" w:hAnsi="Times New Roman" w:cs="Times New Roman"/>
          <w:sz w:val="24"/>
        </w:rPr>
      </w:pPr>
      <w:r w:rsidRPr="002E7FAF">
        <w:rPr>
          <w:rFonts w:ascii="Times New Roman" w:eastAsia="함초롬바탕" w:hAnsi="Times New Roman" w:cs="Times New Roman"/>
          <w:sz w:val="24"/>
        </w:rPr>
        <w:br w:type="page"/>
      </w:r>
    </w:p>
    <w:p w14:paraId="786287B4" w14:textId="77777777" w:rsidR="00CD1F61" w:rsidRPr="002E7FAF" w:rsidRDefault="00CD1F61" w:rsidP="0077614D">
      <w:pPr>
        <w:wordWrap/>
        <w:spacing w:after="100" w:afterAutospacing="1" w:line="360" w:lineRule="auto"/>
        <w:rPr>
          <w:rFonts w:ascii="Times New Roman" w:eastAsia="함초롬바탕" w:hAnsi="Times New Roman" w:cs="Times New Roman"/>
          <w:sz w:val="24"/>
        </w:rPr>
      </w:pPr>
      <w:commentRangeStart w:id="6"/>
      <w:r w:rsidRPr="002E7FAF">
        <w:rPr>
          <w:rFonts w:ascii="Times New Roman" w:eastAsia="함초롬바탕" w:hAnsi="Times New Roman" w:cs="Times New Roman"/>
          <w:sz w:val="24"/>
        </w:rPr>
        <w:lastRenderedPageBreak/>
        <w:t>Reference</w:t>
      </w:r>
      <w:commentRangeEnd w:id="6"/>
      <w:r w:rsidR="00D05213">
        <w:rPr>
          <w:rStyle w:val="af0"/>
        </w:rPr>
        <w:commentReference w:id="6"/>
      </w:r>
    </w:p>
    <w:p w14:paraId="0B986028" w14:textId="013D4C7F" w:rsidR="00CD1F61" w:rsidRDefault="00CD1F61" w:rsidP="0077614D">
      <w:pPr>
        <w:wordWrap/>
        <w:spacing w:after="100" w:afterAutospacing="1" w:line="360" w:lineRule="auto"/>
        <w:ind w:left="564" w:hangingChars="235" w:hanging="564"/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Ahn, </w:t>
      </w:r>
      <w:proofErr w:type="spellStart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Byungmu</w:t>
      </w:r>
      <w:proofErr w:type="spellEnd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. </w:t>
      </w: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i/>
          <w:iCs/>
          <w:sz w:val="24"/>
          <w:szCs w:val="24"/>
        </w:rPr>
        <w:t>Stories of Minjung Theology: The Theological Journey of Ahn Byung-Mu in His Own Words</w:t>
      </w: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. Translated by Hanna In. Edited by </w:t>
      </w:r>
      <w:proofErr w:type="spellStart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Wongi</w:t>
      </w:r>
      <w:proofErr w:type="spellEnd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Park.</w:t>
      </w:r>
      <w:r>
        <w:rPr>
          <w:rStyle w:val="af"/>
          <w:rFonts w:ascii="Times New Roman" w:eastAsiaTheme="minorEastAsia" w:hAnsi="Times New Roman" w:cs="Times New Roman" w:hint="eastAsia"/>
          <w:b w:val="0"/>
          <w:bCs w:val="0"/>
          <w:sz w:val="24"/>
          <w:szCs w:val="24"/>
        </w:rPr>
        <w:t xml:space="preserve"> </w:t>
      </w: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Atlanta: SBL Press, 2019.</w:t>
      </w:r>
    </w:p>
    <w:p w14:paraId="65881F33" w14:textId="7A91E1E6" w:rsidR="00CD1F61" w:rsidRPr="00CD1F61" w:rsidRDefault="00CD1F61" w:rsidP="0077614D">
      <w:pPr>
        <w:wordWrap/>
        <w:spacing w:after="100" w:afterAutospacing="1" w:line="360" w:lineRule="auto"/>
        <w:ind w:left="564" w:hangingChars="235" w:hanging="564"/>
        <w:rPr>
          <w:rFonts w:eastAsiaTheme="minorEastAsia"/>
          <w:sz w:val="24"/>
          <w:szCs w:val="28"/>
        </w:rPr>
      </w:pPr>
      <w:r w:rsidRPr="00CD1F61">
        <w:rPr>
          <w:rFonts w:ascii="Times New Roman" w:eastAsiaTheme="minorEastAsia" w:hAnsi="Times New Roman" w:cs="Times New Roman"/>
          <w:sz w:val="24"/>
          <w:szCs w:val="28"/>
        </w:rPr>
        <w:t>Binder, Amy J., and Jeffrey L. Kidder. </w:t>
      </w:r>
      <w:r w:rsidRPr="00CD1F61">
        <w:rPr>
          <w:rStyle w:val="i"/>
          <w:rFonts w:ascii="Times New Roman" w:eastAsiaTheme="minorEastAsia" w:hAnsi="Times New Roman" w:cs="Times New Roman"/>
          <w:i/>
          <w:iCs/>
          <w:sz w:val="24"/>
          <w:szCs w:val="28"/>
        </w:rPr>
        <w:t>The Channels of Student Activism: How the Left and Right Are Winning (and Losing) in Campus Politics Today</w:t>
      </w:r>
      <w:r w:rsidRPr="00CD1F61">
        <w:rPr>
          <w:rStyle w:val="ae"/>
          <w:rFonts w:ascii="Times New Roman" w:eastAsiaTheme="minorEastAsia" w:hAnsi="Times New Roman" w:cs="Times New Roman"/>
          <w:sz w:val="24"/>
          <w:szCs w:val="28"/>
        </w:rPr>
        <w:t>.</w:t>
      </w:r>
      <w:r w:rsidRPr="00CD1F61">
        <w:rPr>
          <w:rFonts w:ascii="Times New Roman" w:eastAsiaTheme="minorEastAsia" w:hAnsi="Times New Roman" w:cs="Times New Roman"/>
          <w:sz w:val="24"/>
          <w:szCs w:val="28"/>
        </w:rPr>
        <w:t> University of Chicago Press, 2022.</w:t>
      </w:r>
      <w:r w:rsidRPr="00CD1F61">
        <w:rPr>
          <w:rFonts w:eastAsiaTheme="minorEastAsia"/>
          <w:sz w:val="24"/>
          <w:szCs w:val="28"/>
        </w:rPr>
        <w:t xml:space="preserve"> </w:t>
      </w:r>
    </w:p>
    <w:p w14:paraId="3FB180A8" w14:textId="5B45918E" w:rsidR="00CD1F61" w:rsidRPr="00CD1F61" w:rsidRDefault="00CD1F61" w:rsidP="0077614D">
      <w:pPr>
        <w:pStyle w:val="sbuls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>Doyle, Kathleen. “The Queen Mary Psalter.” In </w:t>
      </w:r>
      <w:r w:rsidRPr="00CD1F61">
        <w:rPr>
          <w:rStyle w:val="i"/>
          <w:rFonts w:eastAsiaTheme="minorEastAsia"/>
          <w:i/>
          <w:iCs/>
        </w:rPr>
        <w:t>The Book by Design: The Remarkable Story of the World’s Greatest Invention</w:t>
      </w:r>
      <w:r w:rsidRPr="00CD1F61">
        <w:rPr>
          <w:rFonts w:eastAsiaTheme="minorEastAsia"/>
        </w:rPr>
        <w:t>, edited by P. J. M. Marks and Stephen Parkin. University of Chicago Press, 2023.</w:t>
      </w:r>
    </w:p>
    <w:p w14:paraId="593E9CAB" w14:textId="1AAD31E6" w:rsidR="00CD1F61" w:rsidRPr="00CD1F61" w:rsidRDefault="00CD1F61" w:rsidP="0077614D">
      <w:pPr>
        <w:wordWrap/>
        <w:spacing w:after="100" w:afterAutospacing="1" w:line="360" w:lineRule="auto"/>
        <w:ind w:left="564" w:hangingChars="235" w:hanging="564"/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Kim, </w:t>
      </w:r>
      <w:proofErr w:type="spellStart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Yongbok</w:t>
      </w:r>
      <w:proofErr w:type="spellEnd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. "Social Biography of Minjung and Theology" in </w:t>
      </w: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i/>
          <w:iCs/>
          <w:sz w:val="24"/>
          <w:szCs w:val="24"/>
        </w:rPr>
        <w:t>Minjung and Korean    Theology</w:t>
      </w:r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minjungkwa</w:t>
      </w:r>
      <w:proofErr w:type="spellEnd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hankukshinhak</w:t>
      </w:r>
      <w:proofErr w:type="spellEnd"/>
      <w:r w:rsidRPr="00CD1F61">
        <w:rPr>
          <w:rStyle w:val="af"/>
          <w:rFonts w:ascii="Times New Roman" w:eastAsiaTheme="minorEastAsia" w:hAnsi="Times New Roman" w:cs="Times New Roman"/>
          <w:b w:val="0"/>
          <w:bCs w:val="0"/>
          <w:sz w:val="24"/>
          <w:szCs w:val="24"/>
        </w:rPr>
        <w:t>). Edited by Committee of Theological Study of NCCK. Seoul: Korea Theological Study Institute, 1982. p. 369-89.</w:t>
      </w:r>
    </w:p>
    <w:p w14:paraId="1BD23E0B" w14:textId="6EE94506" w:rsidR="00CD1F61" w:rsidRDefault="00CD1F61" w:rsidP="0077614D">
      <w:pPr>
        <w:pStyle w:val="sbul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>Kurland, Philip B., and Ralph Lerner, eds. </w:t>
      </w:r>
      <w:r w:rsidRPr="00CD1F61">
        <w:rPr>
          <w:rStyle w:val="i"/>
          <w:rFonts w:eastAsiaTheme="minorEastAsia"/>
          <w:i/>
          <w:iCs/>
        </w:rPr>
        <w:t>The Founders’ Constitution</w:t>
      </w:r>
      <w:r w:rsidRPr="00CD1F61">
        <w:rPr>
          <w:rFonts w:eastAsiaTheme="minorEastAsia"/>
        </w:rPr>
        <w:t xml:space="preserve">. University of Chicago Press, 1987. </w:t>
      </w:r>
      <w:r w:rsidRPr="00CD1F61">
        <w:rPr>
          <w:rFonts w:eastAsiaTheme="majorEastAsia"/>
        </w:rPr>
        <w:t>https://press-pubs.uchicago.edu/founders/</w:t>
      </w:r>
      <w:r w:rsidRPr="00CD1F61">
        <w:rPr>
          <w:rFonts w:eastAsiaTheme="minorEastAsia"/>
        </w:rPr>
        <w:t>.</w:t>
      </w:r>
    </w:p>
    <w:p w14:paraId="6BA2EB16" w14:textId="47169FC4" w:rsidR="00CD1F61" w:rsidRDefault="00CD1F61" w:rsidP="0077614D">
      <w:pPr>
        <w:pStyle w:val="sbul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 xml:space="preserve">Kwon, </w:t>
      </w:r>
      <w:proofErr w:type="spellStart"/>
      <w:r w:rsidRPr="00CD1F61">
        <w:rPr>
          <w:rFonts w:eastAsiaTheme="minorEastAsia"/>
        </w:rPr>
        <w:t>Hyeyoung</w:t>
      </w:r>
      <w:proofErr w:type="spellEnd"/>
      <w:r w:rsidRPr="00CD1F61">
        <w:rPr>
          <w:rFonts w:eastAsiaTheme="minorEastAsia"/>
        </w:rPr>
        <w:t>. “Inclusion Work: Children of Immigrants Claiming Membership in Everyday Life.” </w:t>
      </w:r>
      <w:r w:rsidRPr="00CD1F61">
        <w:rPr>
          <w:rStyle w:val="i"/>
          <w:rFonts w:eastAsiaTheme="minorEastAsia"/>
          <w:i/>
          <w:iCs/>
        </w:rPr>
        <w:t>American Journal of Sociology</w:t>
      </w:r>
      <w:r w:rsidRPr="00CD1F61">
        <w:rPr>
          <w:rFonts w:eastAsiaTheme="minorEastAsia"/>
        </w:rPr>
        <w:t xml:space="preserve"> 127, no. 6 (2022): 1818–59. </w:t>
      </w:r>
      <w:r w:rsidRPr="00CD1F61">
        <w:rPr>
          <w:rFonts w:eastAsiaTheme="majorEastAsia"/>
        </w:rPr>
        <w:t>https://doi.org/10.1086/720277</w:t>
      </w:r>
    </w:p>
    <w:p w14:paraId="6F14C393" w14:textId="420185F5" w:rsidR="00CD1F61" w:rsidRDefault="00CD1F61" w:rsidP="0077614D">
      <w:pPr>
        <w:pStyle w:val="sbul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 xml:space="preserve">Kwon, Jin-Kwan. </w:t>
      </w:r>
      <w:r w:rsidRPr="00CD1F61">
        <w:rPr>
          <w:rFonts w:eastAsiaTheme="minorEastAsia"/>
          <w:i/>
          <w:iCs/>
        </w:rPr>
        <w:t>Mission as Justice</w:t>
      </w:r>
      <w:r w:rsidRPr="00CD1F61">
        <w:rPr>
          <w:rFonts w:eastAsiaTheme="minorEastAsia"/>
        </w:rPr>
        <w:t xml:space="preserve">. Paper presented at the 10th Minjung-Dalit Theology Dialogue Metting; 2014 Aug. 18-23; Bangalore, India. </w:t>
      </w:r>
    </w:p>
    <w:p w14:paraId="4ECCF5CB" w14:textId="0A9FCDE6" w:rsidR="00CD1F61" w:rsidRPr="00CD1F61" w:rsidRDefault="00CD1F61" w:rsidP="0077614D">
      <w:pPr>
        <w:pStyle w:val="sbul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 xml:space="preserve">Liu </w:t>
      </w:r>
      <w:proofErr w:type="spellStart"/>
      <w:r w:rsidRPr="00CD1F61">
        <w:rPr>
          <w:rFonts w:eastAsiaTheme="minorEastAsia"/>
        </w:rPr>
        <w:t>Xinwu</w:t>
      </w:r>
      <w:proofErr w:type="spellEnd"/>
      <w:r w:rsidRPr="00CD1F61">
        <w:rPr>
          <w:rFonts w:eastAsiaTheme="minorEastAsia"/>
        </w:rPr>
        <w:t>. </w:t>
      </w:r>
      <w:r w:rsidRPr="00CD1F61">
        <w:rPr>
          <w:rStyle w:val="i"/>
          <w:rFonts w:eastAsiaTheme="minorEastAsia"/>
          <w:i/>
          <w:iCs/>
        </w:rPr>
        <w:t>The Wedding Party</w:t>
      </w:r>
      <w:r w:rsidRPr="00CD1F61">
        <w:rPr>
          <w:rFonts w:eastAsiaTheme="minorEastAsia"/>
        </w:rPr>
        <w:t xml:space="preserve">. Translated by Jeremy </w:t>
      </w:r>
      <w:proofErr w:type="spellStart"/>
      <w:r w:rsidRPr="00CD1F61">
        <w:rPr>
          <w:rFonts w:eastAsiaTheme="minorEastAsia"/>
        </w:rPr>
        <w:t>Tiang</w:t>
      </w:r>
      <w:proofErr w:type="spellEnd"/>
      <w:r w:rsidRPr="00CD1F61">
        <w:rPr>
          <w:rFonts w:eastAsiaTheme="minorEastAsia"/>
        </w:rPr>
        <w:t>. Amazon Crossing, 2021.</w:t>
      </w:r>
    </w:p>
    <w:p w14:paraId="73D58D88" w14:textId="6CAA5DFA" w:rsidR="00F25DD7" w:rsidRDefault="00CD1F61" w:rsidP="0077614D">
      <w:pPr>
        <w:pStyle w:val="sbuls"/>
        <w:shd w:val="clear" w:color="auto" w:fill="FFFFFF"/>
        <w:spacing w:before="0" w:beforeAutospacing="0" w:line="360" w:lineRule="auto"/>
        <w:ind w:left="564" w:hangingChars="235" w:hanging="564"/>
        <w:rPr>
          <w:rFonts w:eastAsiaTheme="minorEastAsia"/>
        </w:rPr>
      </w:pPr>
      <w:r w:rsidRPr="00CD1F61">
        <w:rPr>
          <w:rFonts w:eastAsiaTheme="minorEastAsia"/>
        </w:rPr>
        <w:t>Marks, P. J. M., and Stephen Parkin, eds. </w:t>
      </w:r>
      <w:r w:rsidRPr="00CD1F61">
        <w:rPr>
          <w:rStyle w:val="i"/>
          <w:rFonts w:eastAsiaTheme="minorEastAsia"/>
          <w:i/>
          <w:iCs/>
        </w:rPr>
        <w:t>The Book by Design: The Remarkable Story of the World’s Greatest Invention</w:t>
      </w:r>
      <w:r w:rsidRPr="00CD1F61">
        <w:rPr>
          <w:rFonts w:eastAsiaTheme="minorEastAsia"/>
        </w:rPr>
        <w:t>. University of Chicago Press, 2023.</w:t>
      </w:r>
    </w:p>
    <w:p w14:paraId="033C3112" w14:textId="445DF96D" w:rsidR="0077614D" w:rsidRDefault="0077614D" w:rsidP="0077614D">
      <w:pPr>
        <w:pStyle w:val="sbulf"/>
        <w:shd w:val="clear" w:color="auto" w:fill="FFFFFF"/>
        <w:spacing w:before="0" w:beforeAutospacing="0" w:line="360" w:lineRule="auto"/>
        <w:ind w:left="564" w:hangingChars="235" w:hanging="564"/>
      </w:pPr>
      <w:r w:rsidRPr="00CD1F61">
        <w:rPr>
          <w:rStyle w:val="af"/>
          <w:rFonts w:eastAsiaTheme="minorEastAsia"/>
          <w:b w:val="0"/>
          <w:bCs w:val="0"/>
        </w:rPr>
        <w:t xml:space="preserve">Suh, </w:t>
      </w:r>
      <w:proofErr w:type="spellStart"/>
      <w:r w:rsidRPr="00CD1F61">
        <w:rPr>
          <w:rStyle w:val="af"/>
          <w:rFonts w:eastAsiaTheme="minorEastAsia"/>
          <w:b w:val="0"/>
          <w:bCs w:val="0"/>
        </w:rPr>
        <w:t>Namdong</w:t>
      </w:r>
      <w:proofErr w:type="spellEnd"/>
      <w:r w:rsidRPr="00CD1F61">
        <w:rPr>
          <w:rStyle w:val="af"/>
          <w:rFonts w:eastAsiaTheme="minorEastAsia"/>
          <w:b w:val="0"/>
          <w:bCs w:val="0"/>
        </w:rPr>
        <w:t xml:space="preserve">. </w:t>
      </w:r>
      <w:r w:rsidRPr="00CD1F61">
        <w:rPr>
          <w:rStyle w:val="af"/>
          <w:rFonts w:eastAsiaTheme="minorEastAsia"/>
          <w:b w:val="0"/>
          <w:bCs w:val="0"/>
          <w:i/>
          <w:iCs/>
        </w:rPr>
        <w:t>A Search for Minjung Theology</w:t>
      </w:r>
      <w:r w:rsidRPr="00CD1F61">
        <w:rPr>
          <w:rStyle w:val="af"/>
          <w:rFonts w:eastAsiaTheme="minorEastAsia"/>
          <w:b w:val="0"/>
          <w:bCs w:val="0"/>
        </w:rPr>
        <w:t xml:space="preserve"> (minjung </w:t>
      </w:r>
      <w:proofErr w:type="spellStart"/>
      <w:r w:rsidRPr="00CD1F61">
        <w:rPr>
          <w:rStyle w:val="af"/>
          <w:rFonts w:eastAsiaTheme="minorEastAsia"/>
          <w:b w:val="0"/>
          <w:bCs w:val="0"/>
        </w:rPr>
        <w:t>shinhak</w:t>
      </w:r>
      <w:proofErr w:type="spellEnd"/>
      <w:r w:rsidRPr="00CD1F61">
        <w:rPr>
          <w:rStyle w:val="af"/>
          <w:rFonts w:eastAsiaTheme="minorEastAsia"/>
          <w:b w:val="0"/>
          <w:bCs w:val="0"/>
        </w:rPr>
        <w:t xml:space="preserve"> </w:t>
      </w:r>
      <w:proofErr w:type="spellStart"/>
      <w:r w:rsidRPr="00CD1F61">
        <w:rPr>
          <w:rStyle w:val="af"/>
          <w:rFonts w:eastAsiaTheme="minorEastAsia"/>
          <w:b w:val="0"/>
          <w:bCs w:val="0"/>
        </w:rPr>
        <w:t>tamgu</w:t>
      </w:r>
      <w:proofErr w:type="spellEnd"/>
      <w:r w:rsidRPr="00CD1F61">
        <w:rPr>
          <w:rStyle w:val="af"/>
          <w:rFonts w:eastAsiaTheme="minorEastAsia"/>
          <w:b w:val="0"/>
          <w:bCs w:val="0"/>
        </w:rPr>
        <w:t>). Seoul:</w:t>
      </w:r>
      <w:r>
        <w:rPr>
          <w:rStyle w:val="af"/>
          <w:rFonts w:eastAsiaTheme="minorEastAsia" w:hint="eastAsia"/>
          <w:b w:val="0"/>
          <w:bCs w:val="0"/>
        </w:rPr>
        <w:t xml:space="preserve"> </w:t>
      </w:r>
      <w:r w:rsidRPr="00CD1F61">
        <w:rPr>
          <w:rStyle w:val="af"/>
          <w:rFonts w:eastAsiaTheme="minorEastAsia"/>
          <w:b w:val="0"/>
          <w:bCs w:val="0"/>
        </w:rPr>
        <w:t>Hangil-</w:t>
      </w:r>
      <w:proofErr w:type="spellStart"/>
      <w:r w:rsidRPr="00CD1F61">
        <w:rPr>
          <w:rStyle w:val="af"/>
          <w:rFonts w:eastAsiaTheme="minorEastAsia"/>
          <w:b w:val="0"/>
          <w:bCs w:val="0"/>
        </w:rPr>
        <w:t>sa</w:t>
      </w:r>
      <w:proofErr w:type="spellEnd"/>
      <w:r w:rsidRPr="00CD1F61">
        <w:rPr>
          <w:rStyle w:val="af"/>
          <w:rFonts w:eastAsiaTheme="minorEastAsia"/>
          <w:b w:val="0"/>
          <w:bCs w:val="0"/>
        </w:rPr>
        <w:t>, 1983.</w:t>
      </w:r>
    </w:p>
    <w:sectPr w:rsidR="0077614D" w:rsidSect="00CD1F61">
      <w:footerReference w:type="default" r:id="rId12"/>
      <w:pgSz w:w="11906" w:h="16838" w:code="9"/>
      <w:pgMar w:top="1728" w:right="1728" w:bottom="1728" w:left="1728" w:header="850" w:footer="99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ditor" w:date="2025-04-14T16:57:00Z" w:initials="E">
    <w:p w14:paraId="7C75469F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1" w:author="Editor" w:date="2025-04-14T16:57:00Z" w:initials="E">
    <w:p w14:paraId="2D9E930B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2" w:author="Editor" w:date="2025-04-14T16:57:00Z" w:initials="E">
    <w:p w14:paraId="4573E39A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3" w:author="Editor" w:date="2025-04-14T16:58:00Z" w:initials="E">
    <w:p w14:paraId="7125690D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4" w:author="Editor" w:date="2025-04-14T16:58:00Z" w:initials="E">
    <w:p w14:paraId="6B2634EE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5" w:author="Editor" w:date="2025-04-14T16:58:00Z" w:initials="E">
    <w:p w14:paraId="4E779A50" w14:textId="77777777" w:rsidR="00D05213" w:rsidRDefault="00D05213" w:rsidP="00D05213">
      <w:pPr>
        <w:pStyle w:val="af1"/>
      </w:pPr>
      <w:r>
        <w:rPr>
          <w:rStyle w:val="af0"/>
        </w:rPr>
        <w:annotationRef/>
      </w:r>
      <w:r>
        <w:t>Please delete this bracketed content before submission.</w:t>
      </w:r>
    </w:p>
  </w:comment>
  <w:comment w:id="6" w:author="Editor" w:date="2025-04-14T17:00:00Z" w:initials="E">
    <w:p w14:paraId="17EE1127" w14:textId="77777777" w:rsidR="00037112" w:rsidRDefault="00D05213" w:rsidP="00037112">
      <w:pPr>
        <w:pStyle w:val="af1"/>
      </w:pPr>
      <w:r>
        <w:rPr>
          <w:rStyle w:val="af0"/>
        </w:rPr>
        <w:annotationRef/>
      </w:r>
      <w:r w:rsidR="00037112">
        <w:t>References should be listed alphabetically and formatted according to the journal’s instructions for authors.</w:t>
      </w:r>
    </w:p>
    <w:p w14:paraId="2314BF3D" w14:textId="77777777" w:rsidR="00037112" w:rsidRDefault="00037112" w:rsidP="00037112">
      <w:pPr>
        <w:pStyle w:val="af1"/>
      </w:pPr>
      <w:hyperlink r:id="rId1" w:history="1">
        <w:r w:rsidRPr="004735D9">
          <w:rPr>
            <w:rStyle w:val="aa"/>
          </w:rPr>
          <w:t>https://www.minjung.or.kr/instructions-for-authors/</w:t>
        </w:r>
      </w:hyperlink>
    </w:p>
    <w:p w14:paraId="6DF9583B" w14:textId="77777777" w:rsidR="00037112" w:rsidRDefault="00037112" w:rsidP="00037112">
      <w:pPr>
        <w:pStyle w:val="af1"/>
      </w:pPr>
    </w:p>
    <w:p w14:paraId="53749CC8" w14:textId="77777777" w:rsidR="00037112" w:rsidRDefault="00037112" w:rsidP="00037112">
      <w:pPr>
        <w:pStyle w:val="af1"/>
      </w:pPr>
      <w:r>
        <w:t>Please delete this memo before submission.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75469F" w15:done="0"/>
  <w15:commentEx w15:paraId="2D9E930B" w15:done="0"/>
  <w15:commentEx w15:paraId="4573E39A" w15:done="0"/>
  <w15:commentEx w15:paraId="7125690D" w15:done="0"/>
  <w15:commentEx w15:paraId="6B2634EE" w15:done="0"/>
  <w15:commentEx w15:paraId="4E779A50" w15:done="0"/>
  <w15:commentEx w15:paraId="53749C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E2A210" w16cex:dateUtc="2025-04-14T07:57:00Z"/>
  <w16cex:commentExtensible w16cex:durableId="1B4F36EE" w16cex:dateUtc="2025-04-14T07:57:00Z"/>
  <w16cex:commentExtensible w16cex:durableId="7148A325" w16cex:dateUtc="2025-04-14T07:57:00Z"/>
  <w16cex:commentExtensible w16cex:durableId="2E457D79" w16cex:dateUtc="2025-04-14T07:58:00Z"/>
  <w16cex:commentExtensible w16cex:durableId="4A1ECA0E" w16cex:dateUtc="2025-04-14T07:58:00Z"/>
  <w16cex:commentExtensible w16cex:durableId="37A2C16A" w16cex:dateUtc="2025-04-14T07:58:00Z"/>
  <w16cex:commentExtensible w16cex:durableId="0D3BB6B5" w16cex:dateUtc="2025-04-14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75469F" w16cid:durableId="2BE2A210"/>
  <w16cid:commentId w16cid:paraId="2D9E930B" w16cid:durableId="1B4F36EE"/>
  <w16cid:commentId w16cid:paraId="4573E39A" w16cid:durableId="7148A325"/>
  <w16cid:commentId w16cid:paraId="7125690D" w16cid:durableId="2E457D79"/>
  <w16cid:commentId w16cid:paraId="6B2634EE" w16cid:durableId="4A1ECA0E"/>
  <w16cid:commentId w16cid:paraId="4E779A50" w16cid:durableId="37A2C16A"/>
  <w16cid:commentId w16cid:paraId="53749CC8" w16cid:durableId="0D3BB6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870F" w14:textId="77777777" w:rsidR="00AC71DA" w:rsidRDefault="00AC71DA" w:rsidP="00CD1F61">
      <w:pPr>
        <w:spacing w:after="0" w:line="240" w:lineRule="auto"/>
      </w:pPr>
      <w:r>
        <w:separator/>
      </w:r>
    </w:p>
  </w:endnote>
  <w:endnote w:type="continuationSeparator" w:id="0">
    <w:p w14:paraId="4369801F" w14:textId="77777777" w:rsidR="00AC71DA" w:rsidRDefault="00AC71DA" w:rsidP="00CD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0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F89AB" w14:textId="77777777" w:rsidR="008030E3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166E5" w14:textId="77777777" w:rsidR="008030E3" w:rsidRDefault="008030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5F66" w14:textId="77777777" w:rsidR="00AC71DA" w:rsidRDefault="00AC71DA" w:rsidP="00CD1F61">
      <w:pPr>
        <w:spacing w:after="0" w:line="240" w:lineRule="auto"/>
      </w:pPr>
      <w:r>
        <w:separator/>
      </w:r>
    </w:p>
  </w:footnote>
  <w:footnote w:type="continuationSeparator" w:id="0">
    <w:p w14:paraId="2FD944CB" w14:textId="77777777" w:rsidR="00AC71DA" w:rsidRDefault="00AC71DA" w:rsidP="00CD1F61">
      <w:pPr>
        <w:spacing w:after="0" w:line="240" w:lineRule="auto"/>
      </w:pPr>
      <w:r>
        <w:continuationSeparator/>
      </w:r>
    </w:p>
  </w:footnote>
  <w:footnote w:id="1">
    <w:p w14:paraId="567F7C99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inorEastAsia"/>
          <w:szCs w:val="20"/>
        </w:rPr>
        <w:footnoteRef/>
      </w:r>
      <w:r w:rsidRPr="004D05CC">
        <w:rPr>
          <w:rFonts w:eastAsiaTheme="minorEastAsia"/>
          <w:szCs w:val="20"/>
        </w:rPr>
        <w:t xml:space="preserve"> Nam-Dong Suh, </w:t>
      </w:r>
      <w:r w:rsidRPr="004D05CC">
        <w:rPr>
          <w:rFonts w:eastAsiaTheme="minorEastAsia"/>
          <w:i/>
          <w:szCs w:val="20"/>
        </w:rPr>
        <w:t>A Search for Minjung Theology</w:t>
      </w:r>
      <w:r w:rsidRPr="004D05CC">
        <w:rPr>
          <w:rFonts w:eastAsiaTheme="minorEastAsia"/>
          <w:szCs w:val="20"/>
        </w:rPr>
        <w:t xml:space="preserve"> (Seoul: Hangilsa, 1983), 259.</w:t>
      </w:r>
    </w:p>
  </w:footnote>
  <w:footnote w:id="2">
    <w:p w14:paraId="73DBEF97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inorEastAsia"/>
          <w:szCs w:val="20"/>
        </w:rPr>
        <w:footnoteRef/>
      </w:r>
      <w:r w:rsidRPr="004D05CC">
        <w:rPr>
          <w:rFonts w:eastAsiaTheme="minorEastAsia"/>
          <w:szCs w:val="20"/>
        </w:rPr>
        <w:t xml:space="preserve"> Ibid., 78.</w:t>
      </w:r>
    </w:p>
  </w:footnote>
  <w:footnote w:id="3">
    <w:p w14:paraId="57837747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inorEastAsia"/>
          <w:szCs w:val="20"/>
        </w:rPr>
        <w:footnoteRef/>
      </w:r>
      <w:r w:rsidRPr="004D05CC">
        <w:rPr>
          <w:rFonts w:eastAsiaTheme="minorEastAsia"/>
          <w:szCs w:val="20"/>
        </w:rPr>
        <w:t xml:space="preserve"> Byung-Mu Ahn, </w:t>
      </w:r>
      <w:r w:rsidRPr="004D05CC">
        <w:rPr>
          <w:rFonts w:eastAsiaTheme="minorEastAsia"/>
          <w:i/>
          <w:iCs/>
          <w:szCs w:val="20"/>
        </w:rPr>
        <w:t xml:space="preserve">Stories of </w:t>
      </w:r>
      <w:r w:rsidRPr="004D05CC">
        <w:rPr>
          <w:rFonts w:eastAsiaTheme="minorEastAsia"/>
          <w:i/>
          <w:iCs/>
          <w:szCs w:val="20"/>
        </w:rPr>
        <w:t>Minjug Theology</w:t>
      </w:r>
      <w:r w:rsidRPr="004D05CC">
        <w:rPr>
          <w:rFonts w:eastAsiaTheme="minorEastAsia"/>
          <w:szCs w:val="20"/>
        </w:rPr>
        <w:t xml:space="preserve">, trans. Hanna In (Atlanta: SBL Press, 2019), 26, 84, 115-16. </w:t>
      </w:r>
    </w:p>
  </w:footnote>
  <w:footnote w:id="4">
    <w:p w14:paraId="6983CFB5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inorEastAsia"/>
          <w:szCs w:val="20"/>
        </w:rPr>
        <w:footnoteRef/>
      </w:r>
      <w:r w:rsidRPr="004D05CC">
        <w:rPr>
          <w:rFonts w:eastAsiaTheme="minorEastAsia"/>
          <w:szCs w:val="20"/>
        </w:rPr>
        <w:t xml:space="preserve"> Suh, </w:t>
      </w:r>
      <w:r w:rsidRPr="004D05CC">
        <w:rPr>
          <w:rFonts w:eastAsiaTheme="minorEastAsia"/>
          <w:i/>
          <w:szCs w:val="20"/>
        </w:rPr>
        <w:t xml:space="preserve">A Search for Minjung Theology, </w:t>
      </w:r>
      <w:r w:rsidRPr="004D05CC">
        <w:rPr>
          <w:rFonts w:eastAsiaTheme="minorEastAsia"/>
          <w:iCs/>
          <w:szCs w:val="20"/>
        </w:rPr>
        <w:t>65.</w:t>
      </w:r>
    </w:p>
  </w:footnote>
  <w:footnote w:id="5">
    <w:p w14:paraId="00C448B2" w14:textId="77777777" w:rsidR="00CD1F61" w:rsidRPr="004D05CC" w:rsidRDefault="00CD1F61" w:rsidP="00CD1F61">
      <w:pPr>
        <w:wordWrap/>
        <w:spacing w:line="240" w:lineRule="auto"/>
        <w:contextualSpacing/>
        <w:rPr>
          <w:rFonts w:ascii="Times New Roman" w:eastAsiaTheme="minorEastAsia" w:hAnsi="Times New Roman" w:cs="Times New Roman"/>
          <w:szCs w:val="20"/>
        </w:rPr>
      </w:pPr>
      <w:r w:rsidRPr="004D05CC">
        <w:rPr>
          <w:rStyle w:val="ab"/>
          <w:rFonts w:ascii="Times New Roman" w:eastAsiaTheme="minorEastAsia" w:hAnsi="Times New Roman" w:cs="Times New Roman"/>
          <w:szCs w:val="20"/>
        </w:rPr>
        <w:footnoteRef/>
      </w:r>
      <w:r w:rsidRPr="004D05CC">
        <w:rPr>
          <w:rFonts w:ascii="Times New Roman" w:eastAsiaTheme="minorEastAsia" w:hAnsi="Times New Roman" w:cs="Times New Roman"/>
          <w:szCs w:val="20"/>
        </w:rPr>
        <w:t xml:space="preserve"> Kathleen Doyle, “The Queen Mary Psalter,” in </w:t>
      </w:r>
      <w:r w:rsidRPr="004D05CC">
        <w:rPr>
          <w:rStyle w:val="i"/>
          <w:rFonts w:ascii="Times New Roman" w:eastAsiaTheme="minorEastAsia" w:hAnsi="Times New Roman" w:cs="Times New Roman"/>
          <w:szCs w:val="20"/>
        </w:rPr>
        <w:t>The Book by Design: The Remarkable Story of the World’s Greatest Invention</w:t>
      </w:r>
      <w:r w:rsidRPr="004D05CC">
        <w:rPr>
          <w:rFonts w:ascii="Times New Roman" w:eastAsiaTheme="minorEastAsia" w:hAnsi="Times New Roman" w:cs="Times New Roman"/>
          <w:szCs w:val="20"/>
        </w:rPr>
        <w:t>, ed. P. J. M. Marks and Stephen Parkin (University of Chicago Press, 2023), 64.</w:t>
      </w:r>
    </w:p>
  </w:footnote>
  <w:footnote w:id="6">
    <w:p w14:paraId="05258466" w14:textId="77777777" w:rsidR="00CD1F61" w:rsidRPr="004D05CC" w:rsidRDefault="00CD1F61" w:rsidP="00CD1F61">
      <w:pPr>
        <w:pStyle w:val="sb1f"/>
        <w:shd w:val="clear" w:color="auto" w:fill="FFFFFF"/>
        <w:spacing w:before="0" w:beforeAutospacing="0" w:after="0" w:afterAutospacing="0"/>
        <w:contextualSpacing/>
        <w:rPr>
          <w:rFonts w:eastAsiaTheme="minorEastAsia"/>
          <w:sz w:val="20"/>
          <w:szCs w:val="20"/>
        </w:rPr>
      </w:pPr>
      <w:r w:rsidRPr="004D05CC">
        <w:rPr>
          <w:rStyle w:val="ab"/>
          <w:rFonts w:eastAsiaTheme="majorEastAsia"/>
          <w:sz w:val="20"/>
          <w:szCs w:val="20"/>
        </w:rPr>
        <w:footnoteRef/>
      </w:r>
      <w:r w:rsidRPr="004D05CC">
        <w:rPr>
          <w:sz w:val="20"/>
          <w:szCs w:val="20"/>
        </w:rPr>
        <w:t xml:space="preserve"> </w:t>
      </w:r>
      <w:r w:rsidRPr="004D05CC">
        <w:rPr>
          <w:rFonts w:eastAsiaTheme="minorEastAsia"/>
          <w:sz w:val="20"/>
          <w:szCs w:val="20"/>
        </w:rPr>
        <w:t>Hyeyoung Kwon, “Inclusion Work: Children of Immigrants Claiming Membership in Everyday Life,” </w:t>
      </w:r>
      <w:r w:rsidRPr="004D05CC">
        <w:rPr>
          <w:rStyle w:val="i"/>
          <w:rFonts w:eastAsiaTheme="minorEastAsia"/>
          <w:sz w:val="20"/>
          <w:szCs w:val="20"/>
        </w:rPr>
        <w:t>American Journal of Sociology</w:t>
      </w:r>
      <w:r w:rsidRPr="004D05CC">
        <w:rPr>
          <w:rFonts w:eastAsiaTheme="minorEastAsia"/>
          <w:sz w:val="20"/>
          <w:szCs w:val="20"/>
        </w:rPr>
        <w:t> 127, no. 6 (2022): 1842–43, https://doi.org/10.1086/720277.</w:t>
      </w:r>
    </w:p>
  </w:footnote>
  <w:footnote w:id="7">
    <w:p w14:paraId="0B54E539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ajorEastAsia"/>
          <w:szCs w:val="20"/>
        </w:rPr>
        <w:footnoteRef/>
      </w:r>
      <w:r w:rsidRPr="004D05CC">
        <w:rPr>
          <w:szCs w:val="20"/>
        </w:rPr>
        <w:t xml:space="preserve"> </w:t>
      </w:r>
      <w:r w:rsidRPr="004D05CC">
        <w:rPr>
          <w:rFonts w:eastAsiaTheme="minorEastAsia"/>
          <w:szCs w:val="20"/>
        </w:rPr>
        <w:t>Kwon, “Inclusion Work,” 1851.</w:t>
      </w:r>
    </w:p>
  </w:footnote>
  <w:footnote w:id="8">
    <w:p w14:paraId="52EA621A" w14:textId="77777777" w:rsidR="00CD1F61" w:rsidRPr="004D05CC" w:rsidRDefault="00CD1F61" w:rsidP="00CD1F61">
      <w:pPr>
        <w:pStyle w:val="sb1f"/>
        <w:shd w:val="clear" w:color="auto" w:fill="FFFFFF"/>
        <w:spacing w:before="0" w:beforeAutospacing="0" w:after="0" w:afterAutospacing="0"/>
        <w:contextualSpacing/>
        <w:rPr>
          <w:rFonts w:eastAsiaTheme="minorEastAsia"/>
          <w:sz w:val="20"/>
          <w:szCs w:val="20"/>
        </w:rPr>
      </w:pPr>
      <w:r w:rsidRPr="004D05CC">
        <w:rPr>
          <w:rStyle w:val="ab"/>
          <w:rFonts w:eastAsiaTheme="majorEastAsia"/>
          <w:sz w:val="20"/>
          <w:szCs w:val="20"/>
        </w:rPr>
        <w:footnoteRef/>
      </w:r>
      <w:r w:rsidRPr="004D05CC">
        <w:rPr>
          <w:sz w:val="20"/>
          <w:szCs w:val="20"/>
        </w:rPr>
        <w:t xml:space="preserve"> </w:t>
      </w:r>
      <w:r w:rsidRPr="004D05CC">
        <w:rPr>
          <w:rFonts w:eastAsiaTheme="minorEastAsia"/>
          <w:sz w:val="20"/>
          <w:szCs w:val="20"/>
        </w:rPr>
        <w:t>Dani Blum, “Are Flax Seeds All That?,” </w:t>
      </w:r>
      <w:r w:rsidRPr="004D05CC">
        <w:rPr>
          <w:rStyle w:val="i"/>
          <w:rFonts w:eastAsiaTheme="minorEastAsia"/>
          <w:sz w:val="20"/>
          <w:szCs w:val="20"/>
        </w:rPr>
        <w:t>New York Times</w:t>
      </w:r>
      <w:r w:rsidRPr="004D05CC">
        <w:rPr>
          <w:rFonts w:eastAsiaTheme="minorEastAsia"/>
          <w:sz w:val="20"/>
          <w:szCs w:val="20"/>
        </w:rPr>
        <w:t>, December 13, 2023, https://www.nytimes.com/2023/12/13/well/eat/flax-seeds-benefits.html.</w:t>
      </w:r>
    </w:p>
  </w:footnote>
  <w:footnote w:id="9">
    <w:p w14:paraId="04C26855" w14:textId="77777777" w:rsidR="00CD1F61" w:rsidRPr="004D05CC" w:rsidRDefault="00CD1F61" w:rsidP="00CD1F61">
      <w:pPr>
        <w:pStyle w:val="sb1s"/>
        <w:shd w:val="clear" w:color="auto" w:fill="FFFFFF"/>
        <w:spacing w:before="240" w:beforeAutospacing="0" w:after="240" w:afterAutospacing="0"/>
        <w:contextualSpacing/>
        <w:rPr>
          <w:rFonts w:eastAsiaTheme="minorEastAsia"/>
          <w:sz w:val="20"/>
          <w:szCs w:val="20"/>
        </w:rPr>
      </w:pPr>
      <w:r w:rsidRPr="004D05CC">
        <w:rPr>
          <w:rStyle w:val="ab"/>
          <w:rFonts w:eastAsiaTheme="majorEastAsia"/>
          <w:sz w:val="20"/>
          <w:szCs w:val="20"/>
        </w:rPr>
        <w:footnoteRef/>
      </w:r>
      <w:r w:rsidRPr="004D05CC">
        <w:rPr>
          <w:sz w:val="20"/>
          <w:szCs w:val="20"/>
        </w:rPr>
        <w:t xml:space="preserve"> </w:t>
      </w:r>
      <w:r w:rsidRPr="004D05CC">
        <w:rPr>
          <w:rFonts w:eastAsiaTheme="minorEastAsia"/>
          <w:sz w:val="20"/>
          <w:szCs w:val="20"/>
        </w:rPr>
        <w:t xml:space="preserve">Choi, </w:t>
      </w:r>
      <w:r w:rsidRPr="004D05CC">
        <w:rPr>
          <w:rFonts w:eastAsiaTheme="minorEastAsia"/>
          <w:sz w:val="20"/>
          <w:szCs w:val="20"/>
        </w:rPr>
        <w:t xml:space="preserve">Soonyang. </w:t>
      </w:r>
      <w:r w:rsidRPr="004D05CC">
        <w:rPr>
          <w:rFonts w:eastAsiaTheme="minorEastAsia"/>
          <w:i/>
          <w:iCs/>
          <w:sz w:val="20"/>
          <w:szCs w:val="20"/>
        </w:rPr>
        <w:t>People Who are Alienated and Discriminated Against in Korean Churches</w:t>
      </w:r>
      <w:r w:rsidRPr="004D05CC">
        <w:rPr>
          <w:rFonts w:eastAsiaTheme="minorEastAsia"/>
          <w:sz w:val="20"/>
          <w:szCs w:val="20"/>
        </w:rPr>
        <w:t>. Paper presented at Asian Minjung Theology Consultation; 2023 Oct. 12-13; Seoul, Korea.</w:t>
      </w:r>
    </w:p>
  </w:footnote>
  <w:footnote w:id="10">
    <w:p w14:paraId="31292540" w14:textId="77777777" w:rsidR="00CD1F61" w:rsidRPr="004D05CC" w:rsidRDefault="00CD1F61" w:rsidP="00CD1F61">
      <w:pPr>
        <w:pStyle w:val="sb1f"/>
        <w:shd w:val="clear" w:color="auto" w:fill="FFFFFF"/>
        <w:spacing w:before="0" w:beforeAutospacing="0" w:after="0" w:afterAutospacing="0"/>
        <w:contextualSpacing/>
        <w:rPr>
          <w:rFonts w:eastAsiaTheme="minorEastAsia"/>
          <w:sz w:val="20"/>
          <w:szCs w:val="20"/>
        </w:rPr>
      </w:pPr>
      <w:r w:rsidRPr="004D05CC">
        <w:rPr>
          <w:rStyle w:val="ab"/>
          <w:rFonts w:eastAsiaTheme="majorEastAsia"/>
          <w:sz w:val="20"/>
          <w:szCs w:val="20"/>
        </w:rPr>
        <w:footnoteRef/>
      </w:r>
      <w:r w:rsidRPr="004D05CC">
        <w:rPr>
          <w:sz w:val="20"/>
          <w:szCs w:val="20"/>
        </w:rPr>
        <w:t xml:space="preserve"> </w:t>
      </w:r>
      <w:r w:rsidRPr="004D05CC">
        <w:rPr>
          <w:rFonts w:eastAsiaTheme="minorEastAsia"/>
          <w:sz w:val="20"/>
          <w:szCs w:val="20"/>
        </w:rPr>
        <w:t>. Alexandra Jacobs, “The Muchness of Madonna,” review of </w:t>
      </w:r>
      <w:r w:rsidRPr="004D05CC">
        <w:rPr>
          <w:rStyle w:val="i"/>
          <w:rFonts w:eastAsiaTheme="minorEastAsia"/>
          <w:sz w:val="20"/>
          <w:szCs w:val="20"/>
        </w:rPr>
        <w:t>Madonna: A Rebel Life</w:t>
      </w:r>
      <w:r w:rsidRPr="004D05CC">
        <w:rPr>
          <w:rFonts w:eastAsiaTheme="minorEastAsia"/>
          <w:sz w:val="20"/>
          <w:szCs w:val="20"/>
        </w:rPr>
        <w:t>, by Mary Gabriel, </w:t>
      </w:r>
      <w:r w:rsidRPr="004D05CC">
        <w:rPr>
          <w:rStyle w:val="i"/>
          <w:rFonts w:eastAsiaTheme="minorEastAsia"/>
          <w:sz w:val="20"/>
          <w:szCs w:val="20"/>
        </w:rPr>
        <w:t>New York Times</w:t>
      </w:r>
      <w:r w:rsidRPr="004D05CC">
        <w:rPr>
          <w:rFonts w:eastAsiaTheme="minorEastAsia"/>
          <w:sz w:val="20"/>
          <w:szCs w:val="20"/>
        </w:rPr>
        <w:t>, October 8, 2023.</w:t>
      </w:r>
    </w:p>
    <w:p w14:paraId="1286CDB6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</w:p>
  </w:footnote>
  <w:footnote w:id="11">
    <w:p w14:paraId="588E8134" w14:textId="77777777" w:rsidR="00CD1F61" w:rsidRPr="004D05CC" w:rsidRDefault="00CD1F61" w:rsidP="00CD1F61">
      <w:pPr>
        <w:pStyle w:val="ac"/>
        <w:snapToGrid/>
        <w:ind w:left="140" w:hanging="140"/>
        <w:contextualSpacing/>
        <w:rPr>
          <w:rFonts w:eastAsiaTheme="minorEastAsia"/>
          <w:szCs w:val="20"/>
        </w:rPr>
      </w:pPr>
      <w:r w:rsidRPr="004D05CC">
        <w:rPr>
          <w:rStyle w:val="ab"/>
          <w:rFonts w:eastAsiaTheme="minorEastAsia"/>
          <w:szCs w:val="20"/>
        </w:rPr>
        <w:footnoteRef/>
      </w:r>
      <w:r w:rsidRPr="004D05CC">
        <w:rPr>
          <w:rFonts w:eastAsiaTheme="minorEastAsia"/>
          <w:szCs w:val="20"/>
        </w:rPr>
        <w:t xml:space="preserve"> Yuna Blajer de la Garza, “A House Is Not a Home: Citizenship and Belonging in Contemporary Democracies” (PhD diss., University of Chicago, 2019), 66–67, ProQuest (13865986).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774E"/>
    <w:multiLevelType w:val="multilevel"/>
    <w:tmpl w:val="971EC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5397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wMjI1MTKyNDY3MjZR0lEKTi0uzszPAykwrAUAVbRRTCwAAAA="/>
  </w:docVars>
  <w:rsids>
    <w:rsidRoot w:val="00CD1F61"/>
    <w:rsid w:val="0000466A"/>
    <w:rsid w:val="00037112"/>
    <w:rsid w:val="001574E3"/>
    <w:rsid w:val="002F1A3A"/>
    <w:rsid w:val="00302179"/>
    <w:rsid w:val="004E4068"/>
    <w:rsid w:val="005A79FA"/>
    <w:rsid w:val="006E4D1E"/>
    <w:rsid w:val="00710EF3"/>
    <w:rsid w:val="0077614D"/>
    <w:rsid w:val="008030E3"/>
    <w:rsid w:val="00896C8E"/>
    <w:rsid w:val="00A748DC"/>
    <w:rsid w:val="00AB3AB7"/>
    <w:rsid w:val="00AC71DA"/>
    <w:rsid w:val="00CD1F61"/>
    <w:rsid w:val="00D05213"/>
    <w:rsid w:val="00F04A8A"/>
    <w:rsid w:val="00F25DD7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B6BB"/>
  <w15:chartTrackingRefBased/>
  <w15:docId w15:val="{174416E7-5FBD-4E5F-88FB-AB1AD50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61"/>
    <w:pPr>
      <w:widowControl w:val="0"/>
      <w:wordWrap w:val="0"/>
      <w:autoSpaceDE w:val="0"/>
      <w:autoSpaceDN w:val="0"/>
      <w:spacing w:line="259" w:lineRule="auto"/>
      <w:jc w:val="both"/>
    </w:pPr>
    <w:rPr>
      <w:rFonts w:ascii="맑은 고딕" w:eastAsia="맑은 고딕" w:hAnsi="맑은 고딕" w:cs="Arial"/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D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D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D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D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D1F6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D1F61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D1F6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D1F61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D1F6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D1F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D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D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D1F61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CD1F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1F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D1F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1F61"/>
    <w:rPr>
      <w:b/>
      <w:bCs/>
      <w:smallCaps/>
      <w:color w:val="0F4761" w:themeColor="accent1" w:themeShade="BF"/>
      <w:spacing w:val="5"/>
    </w:rPr>
  </w:style>
  <w:style w:type="character" w:styleId="aa">
    <w:name w:val="Hyperlink"/>
    <w:unhideWhenUsed/>
    <w:rsid w:val="00CD1F61"/>
    <w:rPr>
      <w:color w:val="0563C1"/>
      <w:u w:val="single"/>
    </w:rPr>
  </w:style>
  <w:style w:type="character" w:styleId="ab">
    <w:name w:val="footnote reference"/>
    <w:semiHidden/>
    <w:rsid w:val="00CD1F61"/>
    <w:rPr>
      <w:vertAlign w:val="superscript"/>
    </w:rPr>
  </w:style>
  <w:style w:type="paragraph" w:styleId="ac">
    <w:name w:val="footnote text"/>
    <w:basedOn w:val="a"/>
    <w:link w:val="Char3"/>
    <w:semiHidden/>
    <w:rsid w:val="00CD1F61"/>
    <w:pPr>
      <w:widowControl/>
      <w:wordWrap/>
      <w:autoSpaceDE/>
      <w:autoSpaceDN/>
      <w:snapToGrid w:val="0"/>
      <w:spacing w:after="80" w:line="240" w:lineRule="auto"/>
      <w:ind w:left="70" w:hangingChars="70" w:hanging="70"/>
      <w:jc w:val="left"/>
    </w:pPr>
    <w:rPr>
      <w:rFonts w:ascii="Times New Roman" w:eastAsia="Times New Roman" w:hAnsi="Times New Roman" w:cs="Times New Roman"/>
      <w:kern w:val="0"/>
    </w:rPr>
  </w:style>
  <w:style w:type="character" w:customStyle="1" w:styleId="Char3">
    <w:name w:val="각주 텍스트 Char"/>
    <w:basedOn w:val="a0"/>
    <w:link w:val="ac"/>
    <w:semiHidden/>
    <w:rsid w:val="00CD1F61"/>
    <w:rPr>
      <w:rFonts w:ascii="Times New Roman" w:eastAsia="Times New Roman" w:hAnsi="Times New Roman" w:cs="Times New Roman"/>
      <w:kern w:val="0"/>
      <w:sz w:val="20"/>
      <w:szCs w:val="22"/>
      <w14:ligatures w14:val="none"/>
    </w:rPr>
  </w:style>
  <w:style w:type="paragraph" w:styleId="ad">
    <w:name w:val="footer"/>
    <w:aliases w:val="Footer (11)"/>
    <w:basedOn w:val="a"/>
    <w:link w:val="Char4"/>
    <w:uiPriority w:val="99"/>
    <w:unhideWhenUsed/>
    <w:rsid w:val="00CD1F6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aliases w:val="Footer (11) Char"/>
    <w:basedOn w:val="a0"/>
    <w:link w:val="ad"/>
    <w:uiPriority w:val="99"/>
    <w:rsid w:val="00CD1F61"/>
    <w:rPr>
      <w:rFonts w:ascii="맑은 고딕" w:eastAsia="맑은 고딕" w:hAnsi="맑은 고딕" w:cs="Arial"/>
      <w:sz w:val="20"/>
      <w:szCs w:val="22"/>
      <w14:ligatures w14:val="none"/>
    </w:rPr>
  </w:style>
  <w:style w:type="character" w:styleId="ae">
    <w:name w:val="Emphasis"/>
    <w:basedOn w:val="a0"/>
    <w:uiPriority w:val="20"/>
    <w:qFormat/>
    <w:rsid w:val="00CD1F61"/>
    <w:rPr>
      <w:i/>
      <w:iCs/>
    </w:rPr>
  </w:style>
  <w:style w:type="character" w:customStyle="1" w:styleId="i">
    <w:name w:val="i"/>
    <w:basedOn w:val="a0"/>
    <w:rsid w:val="00CD1F61"/>
  </w:style>
  <w:style w:type="paragraph" w:customStyle="1" w:styleId="sb1f">
    <w:name w:val="sb1f"/>
    <w:basedOn w:val="a"/>
    <w:rsid w:val="00CD1F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b1s">
    <w:name w:val="sb1s"/>
    <w:basedOn w:val="a"/>
    <w:rsid w:val="00CD1F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CD1F61"/>
    <w:rPr>
      <w:b/>
      <w:bCs/>
    </w:rPr>
  </w:style>
  <w:style w:type="paragraph" w:customStyle="1" w:styleId="sbulf">
    <w:name w:val="sbulf"/>
    <w:basedOn w:val="a"/>
    <w:rsid w:val="00CD1F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buls">
    <w:name w:val="sbuls"/>
    <w:basedOn w:val="a"/>
    <w:rsid w:val="00CD1F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bul">
    <w:name w:val="sbul"/>
    <w:basedOn w:val="a"/>
    <w:rsid w:val="00CD1F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05213"/>
    <w:rPr>
      <w:sz w:val="18"/>
      <w:szCs w:val="18"/>
    </w:rPr>
  </w:style>
  <w:style w:type="paragraph" w:styleId="af1">
    <w:name w:val="annotation text"/>
    <w:basedOn w:val="a"/>
    <w:link w:val="Char5"/>
    <w:uiPriority w:val="99"/>
    <w:unhideWhenUsed/>
    <w:rsid w:val="00D05213"/>
    <w:pPr>
      <w:jc w:val="left"/>
    </w:pPr>
  </w:style>
  <w:style w:type="character" w:customStyle="1" w:styleId="Char5">
    <w:name w:val="메모 텍스트 Char"/>
    <w:basedOn w:val="a0"/>
    <w:link w:val="af1"/>
    <w:uiPriority w:val="99"/>
    <w:rsid w:val="00D05213"/>
    <w:rPr>
      <w:rFonts w:ascii="맑은 고딕" w:eastAsia="맑은 고딕" w:hAnsi="맑은 고딕" w:cs="Arial"/>
      <w:sz w:val="20"/>
      <w:szCs w:val="22"/>
      <w14:ligatures w14:val="none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D05213"/>
    <w:rPr>
      <w:b/>
      <w:bCs/>
    </w:rPr>
  </w:style>
  <w:style w:type="character" w:customStyle="1" w:styleId="Char6">
    <w:name w:val="메모 주제 Char"/>
    <w:basedOn w:val="Char5"/>
    <w:link w:val="af2"/>
    <w:uiPriority w:val="99"/>
    <w:semiHidden/>
    <w:rsid w:val="00D05213"/>
    <w:rPr>
      <w:rFonts w:ascii="맑은 고딕" w:eastAsia="맑은 고딕" w:hAnsi="맑은 고딕" w:cs="Arial"/>
      <w:b/>
      <w:bCs/>
      <w:sz w:val="20"/>
      <w:szCs w:val="22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D0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jung.or.kr/instructions-for-authors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hiheon@empa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Sukhun Huh</dc:creator>
  <cp:keywords/>
  <dc:description/>
  <cp:lastModifiedBy>Editor</cp:lastModifiedBy>
  <cp:revision>5</cp:revision>
  <dcterms:created xsi:type="dcterms:W3CDTF">2025-04-13T12:55:00Z</dcterms:created>
  <dcterms:modified xsi:type="dcterms:W3CDTF">2025-04-17T03:00:00Z</dcterms:modified>
</cp:coreProperties>
</file>